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Лечебное дело (ПП)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1   ·   Вопросов: 12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08:35 МСК · База обновлена: 23.07.2026, 00:49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</w:pPr>
      <w:r>
        <w:t>Ситуационная задача 0001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Лечебное дело (ПП)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Мужчина, 58 лет, вызвал врача-терапевта участкового на дом.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 интенсивные боли давящего характера за грудиной длительностью более 30 минут, не купирующиеся приемом нитроглицерина, общую слабость,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В течение последних 3 лет страдает стенокардией напряжения (I-II ФК). На ЭКГ 2 месяца назад регистрировался синусовый ритм с ЧСС 76 в мин., выявлена депрессия сегмента ST II, III, AVF, V5-6, что расценено как снижение кровоснабжения в области нижне-боковой стенки левого желудочка. Назначена терапия аспирином, бета-адреноблокатором (бисопролол), ингибитором АПФ (эналаприл), статином. Утром появились интенсивные боли за грудиной давящего характера. Попытки купировать приступ нитроглицерином без эффекта.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* Рос и развивался нормально.</w:t>
        <w:br/>
        <w:t>* Образование высшее.</w:t>
        <w:br/>
        <w:t>* Работает, предприниматель.</w:t>
        <w:br/>
        <w:t>* Наследственность: отец умер от ИМ в 60 лет, мать 84-х лет страдает ИБС, сестра 60-ти лет страдает ИБС, АГ.</w:t>
        <w:br/>
        <w:t>* Аллергологический анамнез не отягощен.</w:t>
        <w:br/>
        <w:t>* Вредные привычки: курит около 40 лет по ½ - 1 пачке сигарет в день, злоупотребление алкоголем отрицает.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Общее состояние тяжелое. Кожные покровы бледные, влажные. ИМТ=28 кг/м2. ЧДД – 18 в минуту. В лёгких дыхание жесткое, проводится во все отделы, хрипов нет. Тоны сердца приглушены, ритмичные. ЧСС – 50 ударов в минуту, АД – 120/70 мм рт.ст. Живот при пальпации мягкий, безболезненный. Печень не увеличена. Отёков нет.</w:t>
      </w:r>
    </w:p>
    <w:p>
      <w:pPr>
        <w:pStyle w:val="Heading2"/>
      </w:pPr>
      <w:r>
        <w:t>1.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В план обследования пациента входят следующие инструментальные и лабораторные методы исследования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измерение уровня тропонина I или тропонина 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ЭКГ покоя в 12 отведениях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измерение уровня ЛДГ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измерение уровня глюкозы крови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5.</w:t>
      </w:r>
      <w:r>
        <w:tab/>
      </w:r>
      <w:r>
        <w:rPr>
          <w:b w:val="0"/>
          <w:i w:val="0"/>
        </w:rPr>
        <w:t>рентгенография грудной клетки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6.</w:t>
      </w:r>
      <w:r>
        <w:tab/>
      </w:r>
      <w:r>
        <w:rPr>
          <w:b w:val="0"/>
          <w:i w:val="0"/>
        </w:rPr>
        <w:t>измерение уровня МВ-КФК</w:t>
      </w:r>
    </w:p>
    <w:p>
      <w:pPr>
        <w:ind w:left="288"/>
      </w:pPr>
      <w:r>
        <w:rPr>
          <w:b/>
          <w:color w:val="173C49"/>
        </w:rPr>
        <w:t xml:space="preserve">Правильные ответы: </w:t>
      </w:r>
      <w:r>
        <w:rPr>
          <w:b/>
          <w:i w:val="0"/>
        </w:rPr>
        <w:t>1 — измерение уровня тропонина I или тропонина Т; 2 — ЭКГ покоя в 12 отведениях; 4 — измерение уровня глюкозы крови</w:t>
      </w:r>
    </w:p>
    <w:p>
      <w:pPr>
        <w:ind w:left="504"/>
      </w:pPr>
      <w:r>
        <w:rPr>
          <w:b w:val="0"/>
          <w:i/>
        </w:rPr>
        <w:t>У пациентов с ОКСпST для подтверждения диагноза ИМпST рекомендуется исследование уровня сердечного тропонина Т или I (согласно номенклатуре медицинских услуг: исследование уровня тропонинов I, T в крови; при невозможности их выполнения - экспресс-исследование уровня тропонинов I, T в крови).</w:t>
        <w:br/>
        <w:br/>
      </w:r>
      <w:hyperlink r:id="rId22">
        <w:r>
          <w:rPr>
            <w:color w:val="173C49"/>
            <w:u w:val="single"/>
          </w:rPr>
          <w:t>Клинические рекомендации Минздрава России. Острый инфаркт миокарда с подъемом сегмента ST электрокардиограммы, 2024 г.</w:t>
        </w:r>
      </w:hyperlink>
      <w:r>
        <w:rPr>
          <w:b w:val="0"/>
          <w:i/>
        </w:rPr>
        <w:t xml:space="preserve"> </w:t>
      </w:r>
      <w:hyperlink r:id="rId23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У всех пациентов с подозрением на ИМпST для определения типа ОКС и дифференциальной диагностики с иными заболеваниями рекомендуется зарегистрировать ЭКГ в покое как в минимум в 12 стандартных отведениях.</w:t>
        <w:br/>
        <w:br/>
      </w:r>
      <w:hyperlink r:id="rId22">
        <w:r>
          <w:rPr>
            <w:color w:val="173C49"/>
            <w:u w:val="single"/>
          </w:rPr>
          <w:t>Клинические рекомендации Минздрава России. Острый инфаркт миокарда с подъемом сегмента ST электрокардиограммы, 2024 г.</w:t>
        </w:r>
      </w:hyperlink>
      <w:r>
        <w:rPr>
          <w:b w:val="0"/>
          <w:i/>
        </w:rPr>
        <w:t xml:space="preserve"> </w:t>
      </w:r>
      <w:hyperlink r:id="rId24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У всех пациентов с подозрением на ИМпST рекомендуется исследование уровня глюкозы в крови натощак, скрининг на наличие сахарного диабета (СД) (исследование обмена глюкозы; проведение глюкозотолерантного теста; исследование уровня гликированного гемоглобина в крови), а также повторное исследование уровня глюкозы в крови при СД в анамнезе или гипергликемии при госпитализации с целью оценки риска неблагоприятного исхода.</w:t>
        <w:br/>
        <w:br/>
      </w:r>
      <w:hyperlink r:id="rId22">
        <w:r>
          <w:rPr>
            <w:color w:val="173C49"/>
            <w:u w:val="single"/>
          </w:rPr>
          <w:t>Клинические рекомендации Минздрава России. Острый инфаркт миокарда с подъемом сегмента ST электрокардиограммы, 2024 г.</w:t>
        </w:r>
      </w:hyperlink>
      <w:r>
        <w:rPr>
          <w:b w:val="0"/>
          <w:i/>
        </w:rPr>
        <w:t xml:space="preserve"> </w:t>
      </w:r>
      <w:hyperlink r:id="rId25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При подозрении на инфаркт миокарда правого желудочка необходимо использовать дополнительные отведения ЭКГ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V7-V9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по Лиану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V3R и V4R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по Нэбу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V3R и V4R</w:t>
      </w:r>
    </w:p>
    <w:p>
      <w:pPr>
        <w:ind w:left="504"/>
      </w:pPr>
      <w:r>
        <w:rPr>
          <w:b w:val="0"/>
          <w:i/>
        </w:rPr>
        <w:t>Рекомендуется использовать дополнительные отведения ЭКГ (V3R–V4R и/или V7–V9) у пациентов с ИМпST нижней стенки ЛЖ и/или подозрении на ИМ правого желудочка и/или задней стенки ЛЖ для диагностики распространения зоны инфаркта на правый желудочек и/или задние отделы ЛЖ.</w:t>
        <w:br/>
        <w:br/>
      </w:r>
      <w:hyperlink r:id="rId22">
        <w:r>
          <w:rPr>
            <w:color w:val="173C49"/>
            <w:u w:val="single"/>
          </w:rPr>
          <w:t>Клинические рекомендации Минздрава России. Острый инфаркт миокарда с подъемом сегмента ST электрокардиограммы, 2024 г.</w:t>
        </w:r>
      </w:hyperlink>
      <w:r>
        <w:rPr>
          <w:b w:val="0"/>
          <w:i/>
        </w:rPr>
        <w:t xml:space="preserve"> </w:t>
      </w:r>
      <w:hyperlink r:id="rId27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Больного необходимо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госпитализировать в стационар с возможностью инвазивного лечения ИМпST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вести в амбулаторных условиях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госпитализировать в кардиологический стационар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направить на консультацию врача-кардиолога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госпитализировать в стационар с возможностью инвазивного лечения ИМпST</w:t>
      </w:r>
    </w:p>
    <w:p>
      <w:pPr>
        <w:ind w:left="504"/>
      </w:pPr>
      <w:r>
        <w:rPr>
          <w:b w:val="0"/>
          <w:i/>
        </w:rPr>
        <w:t>Пациенты c ИМпST должны госпитализироваться в региональные сосудистые центры для пациентов с ОКС, в кардиологические отделения с палатой реанимации и интенсивной терапии для пациентов с ОКС (первичные сосудистые отделения). Поскольку многим пациентам с подозрением на ОКС может потребоваться углубленная дифференциальная диагностика, их оптимально госпитализировать в многопрофильный стационар с возможностью экстренной диагностики и лечения острой коронарной и иной патологии. Маршрутизация пациентов должна быть организована так, чтобы все они госпитализировались или как можно быстрее переводились в стационар с возможностью инвазивного лечения ОКС.</w:t>
        <w:br/>
        <w:br/>
      </w:r>
      <w:hyperlink r:id="rId22">
        <w:r>
          <w:rPr>
            <w:color w:val="173C49"/>
            <w:u w:val="single"/>
          </w:rPr>
          <w:t>Клинические рекомендации Минздрава России. Острый инфаркт миокарда с подъемом сегмента ST электрокардиограммы, 2024 г.</w:t>
        </w:r>
      </w:hyperlink>
      <w:r>
        <w:rPr>
          <w:b w:val="0"/>
          <w:i/>
        </w:rPr>
        <w:t xml:space="preserve"> </w:t>
      </w:r>
      <w:hyperlink r:id="rId28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2. Диагноз</w:t>
      </w:r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Основной диагноз пациента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ИМпST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ИМбпST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Нестабильная стенокардия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Стенокардия напряжения 4 ф.кл.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ИМпST</w:t>
      </w:r>
    </w:p>
    <w:p>
      <w:pPr>
        <w:ind w:left="504"/>
      </w:pPr>
      <w:r>
        <w:rPr>
          <w:b w:val="0"/>
          <w:i/>
        </w:rPr>
        <w:t>ИМ со стойким подъемом сегмента ST на ЭКГ (ИМпST) — ИМ, при котором в ранние сроки заболевания имеют место стойкий (длительностью более 20 минут) подъем сегмента ST как минимум в двух смежных отведениях ЭКГ. К этой категории также относят пациентов с остро возникшей блокадой ЛНПГ.</w:t>
        <w:br/>
        <w:br/>
      </w:r>
      <w:hyperlink r:id="rId22">
        <w:r>
          <w:rPr>
            <w:color w:val="173C49"/>
            <w:u w:val="single"/>
          </w:rPr>
          <w:t>Клинические рекомендации Минздрава России. Острый инфаркт миокарда с подъемом сегмента ST электрокардиограммы, 2024 г.</w:t>
        </w:r>
      </w:hyperlink>
      <w:r>
        <w:rPr>
          <w:b w:val="0"/>
          <w:i/>
        </w:rPr>
        <w:t xml:space="preserve"> </w:t>
      </w:r>
      <w:hyperlink r:id="rId29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3. Лечение</w:t>
      </w:r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Рутинная стратификация риска в период госпитализации у пациента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проводитсся по шкале TIMI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проводитсся по шкале GRACE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проводитсся по шкале SCORE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не проводится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не проводится</w:t>
      </w:r>
    </w:p>
    <w:p>
      <w:pPr>
        <w:ind w:left="504"/>
      </w:pPr>
      <w:r>
        <w:rPr>
          <w:b w:val="0"/>
          <w:i/>
        </w:rPr>
        <w:t>Рутинная стратификация риска неблагоприятных исходов с помощью шкал у пациентов с ИМпST в период госпитализации не рекомендуется из-за отсутствия доказанно эффективных вмешательств, основанных на результатах данной стратификации.</w:t>
        <w:br/>
        <w:br/>
      </w:r>
      <w:hyperlink r:id="rId22">
        <w:r>
          <w:rPr>
            <w:color w:val="173C49"/>
            <w:u w:val="single"/>
          </w:rPr>
          <w:t>Клинические рекомендации Минздрава России. Острый инфаркт миокарда с подъемом сегмента ST электрокардиограммы, 2024 г.</w:t>
        </w:r>
      </w:hyperlink>
      <w:r>
        <w:rPr>
          <w:b w:val="0"/>
          <w:i/>
        </w:rPr>
        <w:t xml:space="preserve"> </w:t>
      </w:r>
      <w:hyperlink r:id="rId30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Пациенту необходимо выполнить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тромболитическую терапию (ТЛТ)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аортокоронарное шунтирование (АКШ)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первичное чрескожное коронарное вмешательство (ЧКВ)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радиочастотную аблацию (РЧА)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первичное чрескожное коронарное вмешательство (ЧКВ)</w:t>
      </w:r>
    </w:p>
    <w:p>
      <w:pPr>
        <w:ind w:left="504"/>
      </w:pPr>
      <w:r>
        <w:rPr>
          <w:b w:val="0"/>
          <w:i/>
        </w:rPr>
        <w:t>Для снижения риска смерти рекомендуется выполнение первичного ЧКВ как предпочтительной реперфузионной стратегии в первые 12 часов от начала развития ИМпST, если ожидаемое время от момента постановки диагноза до проведения проводника в просвет инфаркт-связанной КА не превышает 120 минут.</w:t>
        <w:br/>
        <w:br/>
      </w:r>
      <w:hyperlink r:id="rId22">
        <w:r>
          <w:rPr>
            <w:color w:val="173C49"/>
            <w:u w:val="single"/>
          </w:rPr>
          <w:t>Клинические рекомендации Минздрава России. Острый инфаркт миокарда с подъемом сегмента ST электрокардиограммы, 2024 г.</w:t>
        </w:r>
      </w:hyperlink>
      <w:r>
        <w:rPr>
          <w:b w:val="0"/>
          <w:i/>
        </w:rPr>
        <w:t xml:space="preserve"> </w:t>
      </w:r>
      <w:hyperlink r:id="rId31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Больному необходимо назначить двойную антитромбоцитарную терапию в нагрузочной дозе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ацетилсалициловая кислота 100 мг + клопидогрел 300 мг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ацетилсалициловая кислота  250 мг + прасугрел 60 мг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ацетилсалициловая кислота 100 мг + тикагрелор 90 мг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ацетилсалициловая кислота 100 мг + клопидогрел 75 мг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ацетилсалициловая кислота  250 мг + прасугрел 60 мг</w:t>
      </w:r>
    </w:p>
    <w:p>
      <w:pPr>
        <w:ind w:left="504"/>
      </w:pPr>
      <w:r>
        <w:rPr>
          <w:b w:val="0"/>
          <w:i/>
        </w:rPr>
        <w:t>Для снижения риска смерти, сосудистой смерти, повторного ИМ и ишемического инсульта всем пациентам (вне зависимости от стратегии лечения) с ИМпST, не имеющим противопоказаний, рекомендуется прием ацетилсалициловой кислоты** (АСК**) в начальной нагрузочной дозе, а затем в поддерживающей дозе на неопределенно долгий срок.</w:t>
        <w:br/>
        <w:br/>
      </w:r>
      <w:hyperlink r:id="rId22">
        <w:r>
          <w:rPr>
            <w:color w:val="173C49"/>
            <w:u w:val="single"/>
          </w:rPr>
          <w:t>Клинические рекомендации Минздрава России. Острый инфаркт миокарда с подъемом сегмента ST электрокардиограммы, 2024 г.</w:t>
        </w:r>
      </w:hyperlink>
      <w:r>
        <w:rPr>
          <w:b w:val="0"/>
          <w:i/>
        </w:rPr>
        <w:t xml:space="preserve"> </w:t>
      </w:r>
      <w:hyperlink r:id="rId32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br/>
        <w:br/>
        <w:t>Рекомендуется начальная (нагрузочная) доза АСК{asterisk}{asterisk} (группа B01AC - антиагреганты кроме гепарина) 150-300 мг (таблетку разжевать и проглотить) как можно быстрее после установления диагноза ОКСпST / ИМпST;</w:t>
        <w:br/>
        <w:br/>
      </w:r>
      <w:hyperlink r:id="rId33">
        <w:r>
          <w:rPr>
            <w:color w:val="173C49"/>
            <w:u w:val="single"/>
          </w:rPr>
          <w:t>(2)</w:t>
        </w:r>
      </w:hyperlink>
      <w:r>
        <w:rPr>
          <w:b w:val="0"/>
          <w:i/>
        </w:rPr>
        <w:br/>
        <w:br/>
        <w:t>При выполнении первичного ЧКВ у пациентов с ИМпST в добавление к АСК{asterisk}{asterisk} рекомендуется предпочесть прасугрел, а не тикагрелор{asterisk}{asterisk}.</w:t>
        <w:br/>
        <w:br/>
      </w:r>
      <w:hyperlink r:id="rId34">
        <w:r>
          <w:rPr>
            <w:color w:val="173C49"/>
            <w:u w:val="single"/>
          </w:rPr>
          <w:t>(3)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Пациенту показан/показано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прием глюкокортикостероидов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прием пероральных антикоагулянтов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введение парентеральных антикоагулянтов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введение коллоидных растворов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введение парентеральных антикоагулянтов</w:t>
      </w:r>
    </w:p>
    <w:p>
      <w:pPr>
        <w:ind w:left="504"/>
      </w:pPr>
      <w:r>
        <w:rPr>
          <w:b w:val="0"/>
          <w:i/>
        </w:rPr>
        <w:t>Для снижения риска ишемических событий рекомендуется начинать парентеральное введение антикоагулянтов после подтверждения диагноза ИМпST у пациентов, не имеющих противопоказаний. При выборе препарата следует учитывать риск возможных ишемических осложнений и кровотечений, а также профиль эффективности и безопасности конкретного антикоагулянта.</w:t>
        <w:br/>
        <w:br/>
      </w:r>
      <w:hyperlink r:id="rId22">
        <w:r>
          <w:rPr>
            <w:color w:val="173C49"/>
            <w:u w:val="single"/>
          </w:rPr>
          <w:t>Клинические рекомендации Минздрава России. Острый инфаркт миокарда с подъемом сегмента ST электрокардиограммы, 2024 г.</w:t>
        </w:r>
      </w:hyperlink>
      <w:r>
        <w:rPr>
          <w:b w:val="0"/>
          <w:i/>
        </w:rPr>
        <w:t xml:space="preserve"> </w:t>
      </w:r>
      <w:hyperlink r:id="rId35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Первичное коронарное вмешательство пациенту должно быть выполнено в пределах +______+ после первичного контакта с медицинским работником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120 минут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60 минут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24 часов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72 часов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120 минут</w:t>
      </w:r>
    </w:p>
    <w:p>
      <w:pPr>
        <w:ind w:left="504"/>
      </w:pPr>
      <w:r>
        <w:rPr>
          <w:b w:val="0"/>
          <w:i/>
        </w:rPr>
        <w:t>Для снижения риска смерти рекомендуется выполнение первичного ЧКВ как предпочтительной реперфузионной стратегии в первые 12 часов от начала развития ИМпST, если ожидаемое время от момента постановки диагноза до проведения проводника в просвет инфаркт-связанной КА не превышает 120 минут.</w:t>
        <w:br/>
        <w:br/>
      </w:r>
      <w:hyperlink r:id="rId22">
        <w:r>
          <w:rPr>
            <w:color w:val="173C49"/>
            <w:u w:val="single"/>
          </w:rPr>
          <w:t>Клинические рекомендации Минздрава России. Острый инфаркт миокарда с подъемом сегмента ST электрокардиограммы, 2024 г.</w:t>
        </w:r>
      </w:hyperlink>
      <w:r>
        <w:rPr>
          <w:b w:val="0"/>
          <w:i/>
        </w:rPr>
        <w:t xml:space="preserve"> </w:t>
      </w:r>
      <w:hyperlink r:id="rId31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Пациенту необходимо назначить аторвастатин в дозе \_______ мг/сут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10-20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40-80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20-40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80-100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40-80</w:t>
      </w:r>
    </w:p>
    <w:p>
      <w:pPr>
        <w:ind w:left="504"/>
      </w:pPr>
      <w:r>
        <w:rPr>
          <w:b w:val="0"/>
          <w:i/>
        </w:rPr>
        <w:t>Рекомендуется применение ингибиторов ГМГ-КоА-редуктазы с наиболее выраженным гиполипидемическим действием, в частности аторвастатина** в суточной дозе 40–80 мг или розувастатина в суточной дозе 20–40 мг.</w:t>
        <w:br/>
        <w:br/>
      </w:r>
      <w:hyperlink r:id="rId22">
        <w:r>
          <w:rPr>
            <w:color w:val="173C49"/>
            <w:u w:val="single"/>
          </w:rPr>
          <w:t>Клинические рекомендации Минздрава России. Острый инфаркт миокарда с подъемом сегмента ST электрокардиограммы, 2024 г.</w:t>
        </w:r>
      </w:hyperlink>
      <w:r>
        <w:rPr>
          <w:b w:val="0"/>
          <w:i/>
        </w:rPr>
        <w:t xml:space="preserve"> </w:t>
      </w:r>
      <w:hyperlink r:id="rId36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Двойная антитромбоцитарная терапия показана пациенту в течение +_____+ мес.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24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6" name="Picture 16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12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6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1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12</w:t>
      </w:r>
    </w:p>
    <w:p>
      <w:pPr>
        <w:ind w:left="504"/>
      </w:pPr>
      <w:r>
        <w:rPr>
          <w:b w:val="0"/>
          <w:i/>
        </w:rPr>
        <w:t>Всем пациентам с ИМпST (вне зависимости от стратегии лечения, за исключением планирующегося КШ), не имеющим высокого риска кровотечений в добавление к АСК** рекомендуются ингибиторы Р2Y12-рецептора тромбоцитов (группа B01AC - ингибиторы агрегации тромбоцитов, кроме гепарина в начальной нагрузочной дозе, а затем в поддерживающей дозе сроком на 12 месяцев для снижения суммарного риска смерти, ИМ и ишемического инсульта.</w:t>
        <w:br/>
        <w:br/>
      </w:r>
      <w:hyperlink r:id="rId22">
        <w:r>
          <w:rPr>
            <w:color w:val="173C49"/>
            <w:u w:val="single"/>
          </w:rPr>
          <w:t>Клинические рекомендации Минздрава России. Острый инфаркт миокарда с подъемом сегмента ST электрокардиограммы, 2024 г.</w:t>
        </w:r>
      </w:hyperlink>
      <w:r>
        <w:rPr>
          <w:b w:val="0"/>
          <w:i/>
        </w:rPr>
        <w:t xml:space="preserve"> </w:t>
      </w:r>
      <w:hyperlink r:id="rId37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4. Вариатив</w:t>
      </w:r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Помимо диеты с ограничением употребления животных жиров и легкоусвояемых углеводов пациенту необходимо рекомендовать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увеличить массу тела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выполнять интенсивные физические нагрузки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7" name="Picture 17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отказаться от курения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избегать переохлаждений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отказаться от курения</w:t>
      </w:r>
    </w:p>
    <w:p>
      <w:pPr>
        <w:ind w:left="504"/>
      </w:pPr>
      <w:r>
        <w:rPr>
          <w:b w:val="0"/>
          <w:i/>
        </w:rPr>
        <w:t>Для снижения риска сердечно-сосудистых событий среди пациентов, перенесших ИМпST, рекомендуются выявление курильщиков и регулярные вмешательства, направленные на полный отказ от курения, включая отказ от пассивного курения.</w:t>
        <w:br/>
        <w:br/>
      </w:r>
      <w:hyperlink r:id="rId22">
        <w:r>
          <w:rPr>
            <w:color w:val="173C49"/>
            <w:u w:val="single"/>
          </w:rPr>
          <w:t>Клинические рекомендации Минздрава России. Острый инфаркт миокарда с подъемом сегмента ST электрокардиограммы, 2024 г.</w:t>
        </w:r>
      </w:hyperlink>
      <w:r>
        <w:rPr>
          <w:b w:val="0"/>
          <w:i/>
        </w:rPr>
        <w:t xml:space="preserve"> </w:t>
      </w:r>
      <w:hyperlink r:id="rId38">
        <w:r>
          <w:rPr>
            <w:color w:val="173C49"/>
            <w:u w:val="single"/>
          </w:rPr>
          <w:t>(1)</w:t>
        </w:r>
      </w:hyperlink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Лечебное дело (ПП)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hyperlink" Target="https://library.mededtech.ru/rest/documents/KP157_24/" TargetMode="External"/><Relationship Id="rId23" Type="http://schemas.openxmlformats.org/officeDocument/2006/relationships/hyperlink" Target="https://library.mededtech.ru/rest/documents/KP157_24/#list_item_e6chi4" TargetMode="External"/><Relationship Id="rId24" Type="http://schemas.openxmlformats.org/officeDocument/2006/relationships/hyperlink" Target="https://library.mededtech.ru/rest/documents/KP157_24/#list_item_oup746" TargetMode="External"/><Relationship Id="rId25" Type="http://schemas.openxmlformats.org/officeDocument/2006/relationships/hyperlink" Target="https://library.mededtech.ru/rest/documents/KP157_24/#list_item_m36lqd" TargetMode="External"/><Relationship Id="rId26" Type="http://schemas.openxmlformats.org/officeDocument/2006/relationships/image" Target="media/image7.png"/><Relationship Id="rId27" Type="http://schemas.openxmlformats.org/officeDocument/2006/relationships/hyperlink" Target="https://library.mededtech.ru/rest/documents/KP157_24/#list_item_33gma5" TargetMode="External"/><Relationship Id="rId28" Type="http://schemas.openxmlformats.org/officeDocument/2006/relationships/hyperlink" Target="https://library.mededtech.ru/rest/documents/KP157_24/#paragraph_vapn7e" TargetMode="External"/><Relationship Id="rId29" Type="http://schemas.openxmlformats.org/officeDocument/2006/relationships/hyperlink" Target="https://library.mededtech.ru/rest/documents/KP157_24/#paragraph_0cmlt8" TargetMode="External"/><Relationship Id="rId30" Type="http://schemas.openxmlformats.org/officeDocument/2006/relationships/hyperlink" Target="https://library.mededtech.ru/rest/documents/KP157_24/#list_item_j1kcgs" TargetMode="External"/><Relationship Id="rId31" Type="http://schemas.openxmlformats.org/officeDocument/2006/relationships/hyperlink" Target="https://library.mededtech.ru/rest/documents/KP157_24/#list_item_1vucaa" TargetMode="External"/><Relationship Id="rId32" Type="http://schemas.openxmlformats.org/officeDocument/2006/relationships/hyperlink" Target="https://library.mededtech.ru/rest/documents/KP157_24/#list_item_68l7ur" TargetMode="External"/><Relationship Id="rId33" Type="http://schemas.openxmlformats.org/officeDocument/2006/relationships/hyperlink" Target="https://library.mededtech.ru/rest/documents/KP157_24/#paragraph_o0hvcb" TargetMode="External"/><Relationship Id="rId34" Type="http://schemas.openxmlformats.org/officeDocument/2006/relationships/hyperlink" Target="https://library.mededtech.ru/rest/documents/KP157_24/#list_item_nbsl6c" TargetMode="External"/><Relationship Id="rId35" Type="http://schemas.openxmlformats.org/officeDocument/2006/relationships/hyperlink" Target="https://library.mededtech.ru/rest/documents/KP157_24/#list_item_a3efj7" TargetMode="External"/><Relationship Id="rId36" Type="http://schemas.openxmlformats.org/officeDocument/2006/relationships/hyperlink" Target="https://library.mededtech.ru/rest/documents/KP157_24/#paragraph_pnq575" TargetMode="External"/><Relationship Id="rId37" Type="http://schemas.openxmlformats.org/officeDocument/2006/relationships/hyperlink" Target="https://library.mededtech.ru/rest/documents/KP157_24/#list_item_irccmn" TargetMode="External"/><Relationship Id="rId38" Type="http://schemas.openxmlformats.org/officeDocument/2006/relationships/hyperlink" Target="https://library.mededtech.ru/rest/documents/KP157_24/#list_item_5507g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